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УТВЕРЖДАЮ:</w:t>
            </w:r>
            <w:r>
              <w:rPr>
                <w:b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jc w:val="right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highlight w:val="none"/>
              </w:rPr>
              <w:t xml:space="preserve">Заместитель главного инженера по территории </w:t>
            </w:r>
            <w:r>
              <w:rPr>
                <w:b w:val="0"/>
                <w:bCs w:val="0"/>
                <w:highlight w:val="none"/>
              </w:rPr>
            </w:r>
            <w:r>
              <w:rPr>
                <w:b w:val="0"/>
                <w:bCs w:val="0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highlight w:val="none"/>
              </w:rPr>
              <w:t xml:space="preserve">ПАО «Россети Урал» </w:t>
            </w:r>
            <w:r>
              <w:rPr>
                <w:b w:val="0"/>
                <w:bCs w:val="0"/>
                <w:highlight w:val="none"/>
              </w:rPr>
            </w:r>
            <w:r>
              <w:rPr>
                <w:b w:val="0"/>
                <w:bCs w:val="0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highlight w:val="none"/>
              </w:rPr>
            </w:r>
            <w:r>
              <w:rPr>
                <w:b w:val="0"/>
                <w:bCs w:val="0"/>
                <w:highlight w:val="none"/>
              </w:rPr>
            </w:r>
            <w:r>
              <w:rPr>
                <w:b w:val="0"/>
                <w:bCs w:val="0"/>
                <w:highlight w:val="none"/>
              </w:rPr>
            </w:r>
          </w:p>
          <w:p>
            <w:pPr>
              <w:jc w:val="right"/>
              <w:rPr>
                <w:b/>
                <w:bCs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highlight w:val="none"/>
              </w:rPr>
              <w:t xml:space="preserve">Ю.В. Лебедев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jc w:val="right"/>
              <w:rPr>
                <w:i/>
                <w:highlight w:val="none"/>
              </w:rPr>
            </w:pPr>
            <w:r>
              <w:rPr>
                <w:i/>
                <w:highlight w:val="none"/>
              </w:rPr>
              <w:t xml:space="preserve"> 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«_____» ________________20__ 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12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</w:p>
    <w:p>
      <w:pPr>
        <w:pStyle w:val="1035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5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</w:t>
      </w:r>
      <w:r>
        <w:rPr>
          <w:b/>
          <w:highlight w:val="none"/>
        </w:rPr>
        <w:t xml:space="preserve">участниками которого могут быть только субъекты МСП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5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5"/>
        <w:jc w:val="center"/>
        <w:rPr>
          <w:b/>
          <w:highlight w:val="none"/>
        </w:rPr>
      </w:pPr>
      <w:r>
        <w:rPr>
          <w:highlight w:val="none"/>
        </w:rPr>
      </w:r>
      <w:r>
        <w:rPr>
          <w:b/>
          <w:highlight w:val="none"/>
        </w:rPr>
        <w:t xml:space="preserve">на </w:t>
      </w:r>
      <w:r>
        <w:rPr>
          <w:b/>
          <w:highlight w:val="none"/>
        </w:rPr>
        <w:t xml:space="preserve">право заключения договора</w:t>
      </w:r>
      <w:r>
        <w:rPr>
          <w:b/>
          <w:highlight w:val="none"/>
        </w:rPr>
        <w:t xml:space="preserve"> на поставку </w:t>
      </w:r>
      <w:r>
        <w:rPr>
          <w:b/>
          <w:highlight w:val="none"/>
        </w:rPr>
        <w:t xml:space="preserve">корпусов, панелей, шкафов, ящиков, блоков, боксов  (распределения, управления, автоматики, обогревов) (ЧЭ)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г. Екатеринбург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  <w:highlight w:val="none"/>
        </w:rPr>
        <w:t xml:space="preserve">2026 год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2"/>
        <w:numPr>
          <w:ilvl w:val="0"/>
          <w:numId w:val="20"/>
        </w:numPr>
        <w:jc w:val="both"/>
        <w:tabs>
          <w:tab w:val="left" w:pos="426" w:leader="none"/>
          <w:tab w:val="left" w:pos="709" w:leader="none"/>
        </w:tabs>
        <w:rPr>
          <w:i/>
          <w:highlight w:val="none"/>
        </w:rPr>
      </w:pPr>
      <w:r>
        <w:rPr>
          <w:rFonts w:eastAsia="SimSun"/>
          <w:b/>
          <w:bCs/>
          <w:iCs/>
          <w:highlight w:val="none"/>
        </w:rPr>
        <w:t xml:space="preserve">Общие сведения о предмете </w:t>
      </w:r>
      <w:r>
        <w:rPr>
          <w:rFonts w:eastAsia="SimSun"/>
          <w:b/>
          <w:bCs/>
          <w:iCs/>
          <w:highlight w:val="none"/>
        </w:rPr>
        <w:t xml:space="preserve">сравнения цен</w:t>
      </w:r>
      <w:r>
        <w:rPr>
          <w:rFonts w:eastAsia="SimSun"/>
          <w:b/>
          <w:bCs/>
          <w:iCs/>
          <w:highlight w:val="none"/>
        </w:rPr>
        <w:t xml:space="preserve"> в электронной форме, </w:t>
      </w:r>
      <w:r>
        <w:rPr>
          <w:rFonts w:eastAsia="SimSun"/>
          <w:b/>
          <w:bCs/>
          <w:iCs/>
          <w:highlight w:val="none"/>
        </w:rPr>
        <w:t xml:space="preserve">участниками которого могут быть только субъекты МСП (далее - закупка):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12"/>
        <w:jc w:val="both"/>
        <w:keepLines w:val="0"/>
        <w:keepNext w:val="0"/>
        <w:spacing w:before="0"/>
        <w:tabs>
          <w:tab w:val="left" w:pos="284" w:leader="none"/>
        </w:tabs>
        <w:rPr>
          <w:rFonts w:eastAsia="SimSun"/>
          <w:highlight w:val="none"/>
        </w:rPr>
      </w:pP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32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  <w:highlight w:val="none"/>
        </w:rPr>
      </w:pP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 </w:t>
      </w:r>
      <w:r>
        <w:rPr>
          <w:highlight w:val="none"/>
        </w:rPr>
        <w:t xml:space="preserve">корпусов, панелей, шкафов, ящиков, блоков, боксов  (распределения, управления, автоматики, обогревов) (ЧЭ)</w:t>
      </w:r>
      <w:r>
        <w:rPr>
          <w:highlight w:val="none"/>
        </w:rPr>
        <w:t xml:space="preserve">.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 проведения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 xml:space="preserve">План закупок 2026 года.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</w:t>
      </w:r>
      <w:r>
        <w:rPr>
          <w:highlight w:val="none"/>
        </w:rPr>
        <w:t xml:space="preserve">Челябэнерго</w:t>
      </w:r>
      <w:r>
        <w:rPr>
          <w:highlight w:val="none"/>
        </w:rPr>
        <w:t xml:space="preserve">»).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поставк</w:t>
      </w:r>
      <w:r>
        <w:rPr>
          <w:rFonts w:eastAsia="MS Mincho"/>
          <w:b/>
          <w:bCs/>
          <w:highlight w:val="none"/>
        </w:rPr>
        <w:t xml:space="preserve">и:</w:t>
      </w:r>
      <w:r>
        <w:rPr>
          <w:rFonts w:eastAsia="MS Mincho"/>
          <w:b w:val="0"/>
          <w:bCs w:val="0"/>
          <w:highlight w:val="none"/>
        </w:rPr>
        <w:t xml:space="preserve"> Челябинская область.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32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Срок поставки</w:t>
      </w:r>
      <w:r>
        <w:rPr>
          <w:rStyle w:val="1056"/>
          <w:b/>
          <w:bCs/>
          <w:highlight w:val="none"/>
        </w:rPr>
        <w:footnoteReference w:id="2"/>
      </w:r>
      <w:r>
        <w:rPr>
          <w:b/>
          <w:bCs/>
          <w:highlight w:val="none"/>
        </w:rPr>
        <w:t xml:space="preserve">: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32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в течение 30 календарных дней с момента заключения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numPr>
          <w:ilvl w:val="2"/>
          <w:numId w:val="20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 предложении (Приложение №4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61599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Поставка корпусов, панелей, шкафов, ящиков, блоков, боксов  (распределения, управления, автоматики, обогревов) (ЧЭ)</w:t>
            </w: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trike w:val="0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0"/>
              </w:rPr>
              <w:t xml:space="preserve">36 802,52</w:t>
            </w:r>
            <w:r>
              <w:rPr>
                <w:rFonts w:ascii="Times New Roman" w:hAnsi="Times New Roman" w:cs="Times New Roman"/>
                <w:strike w:val="0"/>
              </w:rPr>
            </w:r>
            <w:r>
              <w:rPr>
                <w:rFonts w:ascii="Times New Roman" w:hAnsi="Times New Roman" w:cs="Times New Roman"/>
                <w:strike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27.12.31.000 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 (семи)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п.2.4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20"/>
        <w:numPr>
          <w:ilvl w:val="1"/>
          <w:numId w:val="20"/>
        </w:numPr>
        <w:jc w:val="both"/>
        <w:widowControl w:val="off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Требования, предъявляемые к поставке продукции:</w:t>
      </w:r>
      <w:r>
        <w:rPr>
          <w:b/>
          <w:sz w:val="24"/>
          <w:highlight w:val="none"/>
        </w:rPr>
      </w:r>
      <w:r>
        <w:rPr>
          <w:b/>
          <w:sz w:val="24"/>
          <w:highlight w:val="none"/>
        </w:rPr>
      </w:r>
    </w:p>
    <w:p>
      <w:pPr>
        <w:pStyle w:val="1032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ind w:left="480"/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2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Требования, предъявляемые к продукции: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Поставляемые материалы и оборудование должны соответствовать техническим требованиям ПАО «Россети» и иметь копию заключения о Проверке качества, подтверждающего возможность применени</w:t>
      </w:r>
      <w:r>
        <w:rPr>
          <w:highlight w:val="none"/>
        </w:rPr>
        <w:t xml:space="preserve">я про</w:t>
      </w:r>
      <w:r>
        <w:rPr>
          <w:highlight w:val="none"/>
        </w:rPr>
        <w:t xml:space="preserve">дукции на объектах группы компаний «Россети»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п.4.3.4</w:t>
      </w:r>
      <w:r>
        <w:rPr>
          <w:highlight w:val="none"/>
        </w:rPr>
        <w:t xml:space="preserve"> Договора -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</w:t>
      </w:r>
      <w:r>
        <w:rPr>
          <w:highlight w:val="none"/>
        </w:rPr>
        <w:t xml:space="preserve"> настоящему ТЗ)</w:t>
      </w:r>
      <w:r>
        <w:rPr>
          <w:highlight w:val="none"/>
          <w:vertAlign w:val="superscript"/>
        </w:rPr>
        <w:t xml:space="preserve">[</w:t>
      </w:r>
      <w:r>
        <w:rPr>
          <w:rStyle w:val="1056"/>
          <w:highlight w:val="none"/>
        </w:rPr>
        <w:footnoteReference w:id="3"/>
      </w:r>
      <w:r>
        <w:rPr>
          <w:highlight w:val="none"/>
          <w:vertAlign w:val="superscript"/>
        </w:rPr>
        <w:t xml:space="preserve">]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rFonts w:eastAsia="Calibri"/>
          <w:highlight w:val="none"/>
          <w:lang w:eastAsia="en-US"/>
        </w:rPr>
        <w:t xml:space="preserve">(при условии их наличия в ТЗ)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numPr>
          <w:ilvl w:val="2"/>
          <w:numId w:val="20"/>
        </w:numPr>
        <w:ind w:left="0" w:firstLine="0"/>
        <w:jc w:val="both"/>
        <w:rPr>
          <w:highlight w:val="none"/>
        </w:rPr>
      </w:pPr>
      <w:r>
        <w:rPr>
          <w:highlight w:val="none"/>
        </w:rPr>
        <w:t xml:space="preserve">Участник имеет пр</w:t>
      </w:r>
      <w:r>
        <w:rPr>
          <w:highlight w:val="none"/>
        </w:rPr>
        <w:t xml:space="preserve">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rPr>
          <w:highlight w:val="none"/>
        </w:rPr>
        <w:t xml:space="preserve">(при их наличии).</w:t>
      </w:r>
      <w:r>
        <w:rPr>
          <w:highlight w:val="none"/>
        </w:rPr>
        <w:t xml:space="preserve"> Решение о согласовании/не согласовании замены </w:t>
      </w:r>
      <w:r>
        <w:rPr>
          <w:highlight w:val="none"/>
        </w:rPr>
        <w:t xml:space="preserve">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ind w:left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Срок изготовления не ранее 2026 г.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color w:val="000000" w:themeColor="text1"/>
          <w:highlight w:val="none"/>
        </w:rPr>
        <w:t xml:space="preserve">Технические требования к продукции: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numPr>
          <w:ilvl w:val="3"/>
          <w:numId w:val="20"/>
        </w:numPr>
        <w:ind w:left="0" w:right="0" w:firstLine="0"/>
        <w:jc w:val="both"/>
        <w:widowControl w:val="off"/>
        <w:tabs>
          <w:tab w:val="left" w:pos="567" w:leader="none"/>
          <w:tab w:val="left" w:pos="992" w:leader="none"/>
        </w:tabs>
        <w:rPr>
          <w:bCs w:val="0"/>
          <w:i w:val="0"/>
          <w:highlight w:val="none"/>
        </w:rPr>
      </w:pPr>
      <w:r>
        <w:rPr>
          <w:highlight w:val="none"/>
        </w:rPr>
      </w:r>
      <w:r>
        <w:rPr>
          <w:i w:val="0"/>
          <w:iCs w:val="0"/>
          <w:highlight w:val="none"/>
        </w:rPr>
        <w:t xml:space="preserve">Гарантийный срок на поставляемую продукцию должен составлять не менее 1 (одного) года с момента поставки продукции на склад Грузополучателя.</w:t>
      </w:r>
      <w:r>
        <w:rPr>
          <w:bCs w:val="0"/>
          <w:i w:val="0"/>
          <w:highlight w:val="none"/>
        </w:rPr>
      </w:r>
      <w:r>
        <w:rPr>
          <w:bCs w:val="0"/>
          <w:i w:val="0"/>
          <w:highlight w:val="none"/>
        </w:rPr>
      </w:r>
    </w:p>
    <w:p>
      <w:pPr>
        <w:pStyle w:val="1032"/>
        <w:numPr>
          <w:ilvl w:val="3"/>
          <w:numId w:val="20"/>
        </w:numPr>
        <w:ind w:left="0" w:right="0" w:firstLine="0"/>
        <w:jc w:val="both"/>
        <w:widowControl w:val="off"/>
        <w:tabs>
          <w:tab w:val="left" w:pos="567" w:leader="none"/>
          <w:tab w:val="left" w:pos="992" w:leader="none"/>
        </w:tabs>
        <w:rPr>
          <w:bCs w:val="0"/>
          <w:i w:val="0"/>
          <w:highlight w:val="none"/>
        </w:rPr>
      </w:pPr>
      <w:r>
        <w:rPr>
          <w:i w:val="0"/>
          <w:iCs w:val="0"/>
          <w:highlight w:val="none"/>
        </w:rPr>
      </w:r>
      <w:r>
        <w:rPr>
          <w:i w:val="0"/>
          <w:iCs w:val="0"/>
          <w:highlight w:val="none"/>
        </w:rPr>
        <w:t xml:space="preserve">Окраска шкафов методом порошкового напыления.</w:t>
      </w:r>
      <w:r>
        <w:rPr>
          <w:bCs w:val="0"/>
          <w:i w:val="0"/>
          <w:highlight w:val="none"/>
        </w:rPr>
      </w:r>
      <w:r>
        <w:rPr>
          <w:bCs w:val="0"/>
          <w:i w:val="0"/>
          <w:highlight w:val="none"/>
        </w:rPr>
      </w:r>
    </w:p>
    <w:p>
      <w:pPr>
        <w:pStyle w:val="1032"/>
        <w:numPr>
          <w:ilvl w:val="3"/>
          <w:numId w:val="20"/>
        </w:numPr>
        <w:ind w:left="0" w:right="0" w:firstLine="0"/>
        <w:jc w:val="both"/>
        <w:widowControl w:val="off"/>
        <w:tabs>
          <w:tab w:val="left" w:pos="567" w:leader="none"/>
          <w:tab w:val="left" w:pos="992" w:leader="none"/>
        </w:tabs>
        <w:rPr>
          <w:highlight w:val="none"/>
        </w:rPr>
      </w:pPr>
      <w:r>
        <w:rPr>
          <w:i w:val="0"/>
          <w:iCs w:val="0"/>
          <w:highlight w:val="none"/>
        </w:rPr>
        <w:t xml:space="preserve">Требования к энергоэффективности систем обогрева класс, не ниже D.   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numPr>
          <w:ilvl w:val="2"/>
          <w:numId w:val="20"/>
        </w:numPr>
        <w:ind w:left="0" w:hanging="11"/>
        <w:jc w:val="both"/>
        <w:tabs>
          <w:tab w:val="left" w:pos="993" w:leader="none"/>
        </w:tabs>
        <w:rPr>
          <w:rFonts w:eastAsiaTheme="minorHAnsi"/>
          <w:highlight w:val="none"/>
        </w:rPr>
      </w:pPr>
      <w:r>
        <w:rPr>
          <w:highlight w:val="none"/>
        </w:rPr>
        <w:t xml:space="preserve">В </w:t>
      </w:r>
      <w:r>
        <w:rPr>
          <w:rFonts w:eastAsiaTheme="minorHAnsi"/>
          <w:highlight w:val="none"/>
          <w:lang w:eastAsia="en-US"/>
        </w:rPr>
        <w:t xml:space="preserve">отношении продукции, </w:t>
      </w:r>
      <w:r>
        <w:rPr>
          <w:highlight w:val="none"/>
        </w:rPr>
        <w:t xml:space="preserve">указанной в приложении </w:t>
      </w:r>
      <w:r>
        <w:rPr>
          <w:highlight w:val="none"/>
        </w:rPr>
        <w:t xml:space="preserve">№4  к </w:t>
      </w:r>
      <w:r>
        <w:rPr>
          <w:rFonts w:eastAsia="Calibri"/>
          <w:highlight w:val="none"/>
          <w:lang w:eastAsia="en-US"/>
        </w:rPr>
        <w:t xml:space="preserve"> Техническому заданию</w:t>
      </w:r>
      <w:r>
        <w:rPr>
          <w:highlight w:val="none"/>
        </w:rPr>
        <w:t xml:space="preserve">, а именно </w:t>
      </w:r>
      <w:r>
        <w:rPr>
          <w:highlight w:val="none"/>
        </w:rPr>
        <w:t xml:space="preserve">позиции № 1-2</w:t>
      </w:r>
      <w:r>
        <w:rPr>
          <w:rStyle w:val="1025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установлено </w:t>
      </w:r>
      <w:r>
        <w:rPr>
          <w:rFonts w:eastAsiaTheme="minorHAnsi"/>
          <w:b/>
          <w:highlight w:val="none"/>
          <w:lang w:eastAsia="en-US"/>
        </w:rPr>
        <w:t xml:space="preserve">ограничение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42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highlight w:val="none"/>
        </w:rPr>
      </w:r>
      <w:bookmarkStart w:id="7" w:name="_Toc439063131"/>
      <w:r>
        <w:rPr>
          <w:highlight w:val="none"/>
        </w:rPr>
      </w:r>
      <w:bookmarkStart w:id="8" w:name="_Toc8120154"/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43"/>
        <w:numPr>
          <w:ilvl w:val="1"/>
          <w:numId w:val="20"/>
        </w:numPr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44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highlight w:val="none"/>
        </w:rPr>
      </w:pPr>
      <w:r>
        <w:rPr>
          <w:rFonts w:eastAsia="MS Mincho"/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highlight w:val="none"/>
        </w:rPr>
      </w:r>
      <w:r>
        <w:rPr>
          <w:highlight w:val="none"/>
        </w:rPr>
      </w:r>
    </w:p>
    <w:p>
      <w:pPr>
        <w:pStyle w:val="1044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44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44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2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44"/>
        <w:numPr>
          <w:ilvl w:val="1"/>
          <w:numId w:val="2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соответствия технической части (пункты 1 и 2 под таблицей со знаком «*»).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>
        <w:rPr>
          <w:highlight w:val="none"/>
        </w:rPr>
        <w:t xml:space="preserve">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4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highlight w:val="none"/>
          <w:lang w:val="ru-RU"/>
        </w:rPr>
        <w:t xml:space="preserve">В столбце 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none"/>
          <w:lang w:val="ru-RU"/>
        </w:rPr>
        <w:t xml:space="preserve">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к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ы</w:t>
      </w:r>
      <w:r>
        <w:rPr>
          <w:highlight w:val="none"/>
          <w:lang w:val="ru-RU"/>
        </w:rPr>
        <w:t xml:space="preserve">в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0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б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ц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п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highlight w:val="none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rFonts w:eastAsia="Calibri"/>
          <w:szCs w:val="24"/>
          <w:highlight w:val="none"/>
          <w:lang w:eastAsia="en-US"/>
        </w:rPr>
        <w:t xml:space="preserve">В</w:t>
      </w:r>
      <w:r>
        <w:rPr>
          <w:rFonts w:eastAsia="Calibri"/>
          <w:szCs w:val="24"/>
          <w:highlight w:val="none"/>
          <w:lang w:eastAsia="en-US"/>
        </w:rPr>
        <w:t xml:space="preserve"> столбце 12* «Включено в Реестр промышленной продукции/реестр промышленных товаров государств - членов ЕАЭС» требуется указать сведения для каждого из заявленных производителей по каждому виду продукции, в соответствии с Постановлением Правительства Россий</w:t>
      </w:r>
      <w:r>
        <w:rPr>
          <w:rFonts w:eastAsia="Calibri"/>
          <w:szCs w:val="24"/>
          <w:highlight w:val="none"/>
          <w:lang w:eastAsia="en-US"/>
        </w:rPr>
        <w:t xml:space="preserve">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</w:t>
      </w:r>
      <w:r>
        <w:rPr>
          <w:rFonts w:eastAsia="Calibri"/>
          <w:szCs w:val="24"/>
          <w:highlight w:val="none"/>
          <w:lang w:eastAsia="en-US"/>
        </w:rPr>
        <w:t xml:space="preserve">идами юридических лиц».</w:t>
      </w:r>
      <w:r>
        <w:rPr>
          <w:highlight w:val="none"/>
        </w:rPr>
      </w:r>
      <w:r>
        <w:rPr>
          <w:highlight w:val="none"/>
        </w:rPr>
      </w:r>
    </w:p>
    <w:p>
      <w:pPr>
        <w:pStyle w:val="104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 Приложения №4 к Техническому заданию. 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В ц</w:t>
      </w:r>
      <w:r>
        <w:rPr>
          <w:highlight w:val="none"/>
        </w:rPr>
        <w:t xml:space="preserve">елях подтверждения страны происхождения товара</w:t>
      </w:r>
      <w:r>
        <w:rPr>
          <w:highlight w:val="none"/>
        </w:rPr>
        <w:t xml:space="preserve"> в соответствии с п.1.10.7 Технического задания</w:t>
      </w:r>
      <w:r>
        <w:rPr>
          <w:highlight w:val="none"/>
        </w:rPr>
        <w:t xml:space="preserve"> Участник в </w:t>
      </w:r>
      <w:r>
        <w:rPr>
          <w:highlight w:val="none"/>
        </w:rPr>
        <w:t xml:space="preserve">Приложении </w:t>
      </w:r>
      <w:r>
        <w:rPr>
          <w:rFonts w:eastAsia="Calibri"/>
          <w:szCs w:val="24"/>
          <w:highlight w:val="none"/>
          <w:lang w:eastAsia="en-US"/>
        </w:rPr>
        <w:t xml:space="preserve">№4 к Техническому заданию</w:t>
      </w:r>
      <w:r>
        <w:rPr>
          <w:highlight w:val="none"/>
        </w:rPr>
        <w:t xml:space="preserve"> заполняет столбец 12* «</w:t>
      </w:r>
      <w:r>
        <w:rPr>
          <w:highlight w:val="none"/>
        </w:rPr>
        <w:t xml:space="preserve">Включено в Реестр промышленной продукции/реестр промышленных товаров государств - членов ЕАЭС (да (указать № реестровой записи) / нет)</w:t>
      </w:r>
      <w:r>
        <w:rPr>
          <w:highlight w:val="none"/>
        </w:rPr>
        <w:t xml:space="preserve">» по каждой номенклатурной позиции</w:t>
      </w:r>
      <w:r>
        <w:rPr>
          <w:highlight w:val="none"/>
        </w:rPr>
        <w:t xml:space="preserve"> с  обязательным указанием в столбце 13* </w:t>
      </w:r>
      <w:r>
        <w:rPr>
          <w:highlight w:val="none"/>
        </w:rPr>
        <w:t xml:space="preserve">информации о совокупном количестве баллов / об уровне радиоэлектронной продукции из соответствующего реестра </w:t>
      </w:r>
      <w:r>
        <w:rPr>
          <w:highlight w:val="none"/>
        </w:rPr>
        <w:t xml:space="preserve">(при их наличии).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В случае непредоставления / </w:t>
      </w:r>
      <w:r>
        <w:rPr>
          <w:highlight w:val="none"/>
        </w:rPr>
        <w:t xml:space="preserve">не полного предоставления / </w:t>
      </w:r>
      <w:r>
        <w:rPr>
          <w:highlight w:val="none"/>
        </w:rPr>
        <w:t xml:space="preserve">некорректного предоставления </w:t>
      </w:r>
      <w:r>
        <w:rPr>
          <w:highlight w:val="none"/>
        </w:rPr>
        <w:t xml:space="preserve">/ </w:t>
      </w:r>
      <w:r>
        <w:rPr>
          <w:highlight w:val="none"/>
        </w:rPr>
        <w:t xml:space="preserve">предоставления недостоверных сведений в столбцах 12* и 13*, заявка такого Участника </w:t>
      </w:r>
      <w:r>
        <w:rPr>
          <w:highlight w:val="none"/>
        </w:rPr>
        <w:t xml:space="preserve">приравнивается к заявке на участие в закупке, в которой содержится предложение о поставке товара, происходящего из иностранного государства.</w:t>
      </w:r>
      <w:r>
        <w:rPr>
          <w:highlight w:val="none"/>
        </w:rPr>
        <w:t xml:space="preserve">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4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В случае нарушения требований инструкции по заполнению (пп.</w:t>
      </w:r>
      <w:r>
        <w:rPr>
          <w:rFonts w:eastAsia="Calibri"/>
          <w:szCs w:val="24"/>
          <w:highlight w:val="none"/>
          <w:lang w:eastAsia="en-US"/>
        </w:rPr>
        <w:t xml:space="preserve">3.1.1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-</w:t>
      </w:r>
      <w:r>
        <w:rPr>
          <w:rFonts w:eastAsia="Calibri"/>
          <w:szCs w:val="24"/>
          <w:highlight w:val="none"/>
          <w:lang w:eastAsia="en-US"/>
        </w:rPr>
        <w:t xml:space="preserve"> 3</w:t>
      </w:r>
      <w:r>
        <w:rPr>
          <w:rFonts w:eastAsia="Calibri"/>
          <w:szCs w:val="24"/>
          <w:highlight w:val="none"/>
          <w:lang w:eastAsia="en-US"/>
        </w:rPr>
        <w:t xml:space="preserve">.1.</w:t>
      </w:r>
      <w:r>
        <w:rPr>
          <w:rFonts w:eastAsia="Calibri"/>
          <w:szCs w:val="24"/>
          <w:highlight w:val="none"/>
          <w:lang w:eastAsia="en-US"/>
        </w:rPr>
        <w:t xml:space="preserve">8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настоящего </w:t>
      </w:r>
      <w:r>
        <w:rPr>
          <w:rFonts w:eastAsia="Calibri"/>
          <w:szCs w:val="24"/>
          <w:highlight w:val="none"/>
          <w:lang w:eastAsia="en-US"/>
        </w:rPr>
        <w:t xml:space="preserve">Технического задания</w:t>
      </w:r>
      <w:r>
        <w:rPr>
          <w:rFonts w:eastAsia="Calibri"/>
          <w:szCs w:val="24"/>
          <w:highlight w:val="none"/>
          <w:lang w:eastAsia="en-US"/>
        </w:rPr>
        <w:t xml:space="preserve">) заявка подлежит обязательному отклонению.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Информация, указанная Участником в приложении № 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, в дальнейшем изменению не подлежит.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4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 к</w:t>
      </w:r>
      <w:r>
        <w:rPr>
          <w:rFonts w:eastAsia="Calibri"/>
          <w:szCs w:val="24"/>
          <w:highlight w:val="none"/>
          <w:lang w:eastAsia="en-US"/>
        </w:rPr>
        <w:t xml:space="preserve"> Техническому заданию</w:t>
      </w:r>
      <w:r>
        <w:rPr>
          <w:rFonts w:eastAsia="Calibri"/>
          <w:szCs w:val="24"/>
          <w:highlight w:val="none"/>
          <w:lang w:eastAsia="en-US"/>
        </w:rPr>
        <w:t xml:space="preserve">, не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4"/>
        <w:numPr>
          <w:ilvl w:val="1"/>
          <w:numId w:val="20"/>
        </w:numPr>
        <w:ind w:left="0" w:firstLine="0"/>
        <w:widowControl w:val="off"/>
        <w:tabs>
          <w:tab w:val="left" w:pos="0" w:leader="none"/>
          <w:tab w:val="left" w:pos="709" w:leader="none"/>
        </w:tabs>
        <w:rPr>
          <w:b/>
          <w:highlight w:val="none"/>
        </w:rPr>
      </w:pPr>
      <w:r>
        <w:rPr>
          <w:highlight w:val="none"/>
        </w:rPr>
      </w:r>
      <w:r>
        <w:rPr>
          <w:rFonts w:eastAsia="Calibri"/>
          <w:highlight w:val="none"/>
        </w:rPr>
        <w:t xml:space="preserve">Заполненные Участником опросные листы, чертежи</w:t>
      </w:r>
      <w:r>
        <w:rPr>
          <w:rFonts w:eastAsia="Calibri"/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(приложение №5 к </w:t>
      </w:r>
      <w:r>
        <w:rPr>
          <w:highlight w:val="none"/>
        </w:rPr>
        <w:t xml:space="preserve">Техническому заданию)</w:t>
      </w:r>
      <w:r>
        <w:rPr>
          <w:highlight w:val="none"/>
        </w:rPr>
        <w:t xml:space="preserve"> </w:t>
      </w:r>
      <w:r>
        <w:rPr>
          <w:szCs w:val="24"/>
          <w:highlight w:val="none"/>
        </w:rPr>
        <w:t xml:space="preserve">в соответствии с инструкцией по заполнению (приложение №5.1 </w:t>
      </w:r>
      <w:r>
        <w:rPr>
          <w:highlight w:val="none"/>
        </w:rPr>
        <w:t xml:space="preserve">Техническому заданию</w:t>
      </w:r>
      <w:r>
        <w:rPr>
          <w:szCs w:val="24"/>
          <w:highlight w:val="none"/>
        </w:rPr>
        <w:t xml:space="preserve">)</w:t>
      </w:r>
      <w:r>
        <w:rPr>
          <w:highlight w:val="none"/>
        </w:rPr>
        <w:t xml:space="preserve">.</w:t>
      </w:r>
      <w:r>
        <w:rPr>
          <w:b/>
          <w:highlight w:val="none"/>
        </w:rPr>
        <w:t xml:space="preserve"> </w:t>
      </w:r>
      <w:r>
        <w:rPr>
          <w:rFonts w:eastAsia="Calibri"/>
          <w:highlight w:val="none"/>
        </w:rPr>
        <w:t xml:space="preserve">В случае предложения Участником эквивалента заказываемой продукции: в подтверждение соответствия техническим требованиям заказываемой продукции согласно Приложения №</w:t>
      </w:r>
      <w:r>
        <w:rPr>
          <w:rFonts w:eastAsia="Calibri"/>
          <w:highlight w:val="none"/>
        </w:rPr>
        <w:t xml:space="preserve">4</w:t>
      </w:r>
      <w:r>
        <w:rPr>
          <w:rFonts w:eastAsia="Calibri"/>
          <w:highlight w:val="none"/>
        </w:rPr>
        <w:t xml:space="preserve"> к</w:t>
      </w:r>
      <w:r>
        <w:rPr>
          <w:rFonts w:eastAsia="Calibri"/>
          <w:highlight w:val="none"/>
        </w:rPr>
        <w:t xml:space="preserve"> ТЗ</w:t>
      </w:r>
      <w:r>
        <w:rPr>
          <w:rFonts w:eastAsia="Calibri"/>
          <w:highlight w:val="none"/>
        </w:rPr>
        <w:t xml:space="preserve">, параметры заменяемой продукции должны быть отражены в заполненных опросных листах (приложение №</w:t>
      </w:r>
      <w:r>
        <w:rPr>
          <w:rFonts w:eastAsia="Calibri"/>
          <w:highlight w:val="none"/>
        </w:rPr>
        <w:t xml:space="preserve">5 </w:t>
      </w:r>
      <w:r>
        <w:rPr>
          <w:highlight w:val="none"/>
        </w:rPr>
        <w:t xml:space="preserve">Техническому заданию</w:t>
      </w:r>
      <w:r>
        <w:rPr>
          <w:rFonts w:eastAsia="Calibri"/>
          <w:highlight w:val="none"/>
        </w:rPr>
        <w:t xml:space="preserve">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4"/>
        <w:numPr>
          <w:ilvl w:val="0"/>
          <w:numId w:val="0"/>
        </w:numPr>
        <w:widowControl w:val="off"/>
        <w:tabs>
          <w:tab w:val="left" w:pos="0" w:leader="none"/>
          <w:tab w:val="left" w:pos="142" w:leader="none"/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numPr>
          <w:ilvl w:val="0"/>
          <w:numId w:val="20"/>
        </w:numPr>
        <w:ind w:left="0" w:firstLine="0"/>
        <w:keepLines/>
        <w:spacing w:before="120" w:after="120"/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26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26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26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26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26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26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26"/>
        <w:ind w:left="709" w:right="0" w:firstLine="0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2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4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1 (</w:t>
      </w:r>
      <w:r>
        <w:rPr>
          <w:rStyle w:val="1041"/>
          <w:rFonts w:ascii="Times New Roman" w:hAnsi="Times New Roman" w:cs="Times New Roman"/>
          <w:i/>
          <w:color w:val="auto"/>
          <w:highlight w:val="none"/>
        </w:rPr>
        <w:t xml:space="preserve">обязательное</w:t>
      </w:r>
      <w:bookmarkEnd w:id="7"/>
      <w:r>
        <w:rPr>
          <w:highlight w:val="none"/>
        </w:rPr>
      </w:r>
      <w:bookmarkEnd w:id="8"/>
      <w:r>
        <w:rPr>
          <w:rStyle w:val="1041"/>
          <w:rFonts w:ascii="Times New Roman" w:hAnsi="Times New Roman" w:cs="Times New Roman"/>
          <w:i/>
          <w:color w:val="auto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bookmarkStart w:id="10" w:name="_Toc8120155"/>
      <w:r>
        <w:rPr>
          <w:rStyle w:val="104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41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41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41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bookmarkEnd w:id="10"/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4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41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4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41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bookmarkStart w:id="11" w:name="_Toc536483690"/>
      <w:r>
        <w:rPr>
          <w:highlight w:val="none"/>
        </w:rPr>
      </w:r>
      <w:bookmarkStart w:id="12" w:name="_Toc536628829"/>
      <w:r>
        <w:rPr>
          <w:highlight w:val="none"/>
        </w:rPr>
      </w:r>
      <w:bookmarkStart w:id="13" w:name="_Toc2757058"/>
      <w:r>
        <w:rPr>
          <w:highlight w:val="none"/>
        </w:rPr>
      </w:r>
      <w:bookmarkEnd w:id="11"/>
      <w:r>
        <w:rPr>
          <w:highlight w:val="none"/>
        </w:rPr>
      </w:r>
      <w:bookmarkEnd w:id="12"/>
      <w:r>
        <w:rPr>
          <w:highlight w:val="none"/>
        </w:rPr>
      </w:r>
      <w:bookmarkEnd w:id="13"/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32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i/>
          <w:highlight w:val="none"/>
        </w:rPr>
        <w:outlineLvl w:val="0"/>
      </w:pPr>
      <w:r>
        <w:rPr>
          <w:rStyle w:val="1041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</w:t>
      </w:r>
      <w:r>
        <w:rPr>
          <w:rStyle w:val="1041"/>
          <w:rFonts w:ascii="Times New Roman" w:hAnsi="Times New Roman" w:cs="Times New Roman"/>
          <w:b/>
          <w:i/>
          <w:color w:val="auto"/>
          <w:highlight w:val="none"/>
        </w:rPr>
        <w:t xml:space="preserve">5</w:t>
      </w:r>
      <w:r>
        <w:rPr>
          <w:rStyle w:val="1041"/>
          <w:rFonts w:ascii="Times New Roman" w:hAnsi="Times New Roman" w:cs="Times New Roman"/>
          <w:b/>
          <w:i/>
          <w:color w:val="auto"/>
          <w:highlight w:val="none"/>
        </w:rPr>
        <w:t xml:space="preserve"> </w:t>
      </w:r>
      <w:r>
        <w:rPr>
          <w:rStyle w:val="1041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Опросные листы </w:t>
      </w:r>
      <w:r>
        <w:rPr>
          <w:rFonts w:eastAsiaTheme="majorEastAsia"/>
          <w:highlight w:val="none"/>
        </w:rPr>
        <w:t xml:space="preserve">с инструкцией по заполнению (Приложение 5.1.)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rPr>
          <w:b/>
          <w:bCs/>
          <w:highlight w:val="none"/>
        </w:rPr>
      </w:pPr>
      <w:r>
        <w:rPr>
          <w:highlight w:val="none"/>
        </w:rPr>
        <w:t xml:space="preserve">Техническое задан</w:t>
      </w:r>
      <w:r>
        <w:rPr>
          <w:b w:val="0"/>
          <w:bCs w:val="0"/>
          <w:highlight w:val="none"/>
        </w:rPr>
        <w:t xml:space="preserve">ие 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ab/>
            </w:r>
            <w:r>
              <w:rPr>
                <w:b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Фамилия, инициалы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  <w:t xml:space="preserve">Начальник ОЛиМТО ДЗЛиМТО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  <w:t xml:space="preserve">Губина О.С.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53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Поставка корпусов, панелей, шкафов, ящиков, блоков, боксов  (распределения, управления, автоматики, обогревов) (ЧЭ)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  <w:highlight w:val="none"/>
        </w:rPr>
        <w:outlineLvl w:val="1"/>
      </w:pPr>
      <w:r>
        <w:rPr>
          <w:highlight w:val="none"/>
        </w:rPr>
      </w:r>
      <w:r>
        <w:rPr>
          <w:sz w:val="28"/>
          <w:szCs w:val="28"/>
          <w:highlight w:val="none"/>
        </w:rPr>
        <w:t xml:space="preserve">(указывается предмет закупки)</w:t>
      </w:r>
      <w:bookmarkStart w:id="16" w:name="l152"/>
      <w:r>
        <w:rPr>
          <w:highlight w:val="none"/>
        </w:rPr>
      </w:r>
      <w:bookmarkEnd w:id="16"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  <w:trHeight w:val="890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17" w:name="l55"/>
            <w:r>
              <w:rPr>
                <w:highlight w:val="none"/>
              </w:rPr>
            </w:r>
            <w:bookmarkEnd w:id="17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left="0" w:right="0" w:firstLine="0"/>
              <w:spacing w:after="30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36 802,52</w:t>
            </w:r>
            <w:r>
              <w:rPr>
                <w:highlight w:val="none"/>
              </w:rPr>
              <w:t xml:space="preserve"> руб.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26"/>
              <w:tabs>
                <w:tab w:val="left" w:pos="665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Нормативный метод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1026"/>
              <w:tabs>
                <w:tab w:val="left" w:pos="665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left="0" w:right="0" w:firstLine="0"/>
              <w:spacing w:after="300"/>
              <w:rPr>
                <w:i/>
                <w:highlight w:val="none"/>
              </w:rPr>
            </w:pPr>
            <w:r>
              <w:rPr>
                <w:highlight w:val="none"/>
              </w:rPr>
              <w:t xml:space="preserve">Единый стандарт закупок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Приложение №1.1. к Техническому заданию – Расчет НМЦ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3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6"/>
      <w:rPr>
        <w:rStyle w:val="1038"/>
      </w:rPr>
      <w:framePr w:wrap="around" w:vAnchor="text" w:hAnchor="margin" w:xAlign="center" w:y="1"/>
    </w:pPr>
    <w:r>
      <w:rPr>
        <w:rStyle w:val="1038"/>
      </w:rPr>
      <w:fldChar w:fldCharType="begin"/>
    </w:r>
    <w:r>
      <w:rPr>
        <w:rStyle w:val="1038"/>
      </w:rPr>
      <w:instrText xml:space="preserve">PAGE  </w:instrText>
    </w:r>
    <w:r>
      <w:rPr>
        <w:rStyle w:val="1038"/>
      </w:rPr>
      <w:fldChar w:fldCharType="end"/>
    </w:r>
    <w:r>
      <w:rPr>
        <w:rStyle w:val="1038"/>
      </w:rPr>
    </w:r>
    <w:r>
      <w:rPr>
        <w:rStyle w:val="1038"/>
      </w:rPr>
    </w:r>
  </w:p>
  <w:p>
    <w:pPr>
      <w:pStyle w:val="103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56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  <w:p>
      <w:pPr>
        <w:pStyle w:val="1054"/>
      </w:pPr>
      <w:r/>
      <w:r/>
    </w:p>
  </w:footnote>
  <w:footnote w:id="3">
    <w:p>
      <w:pPr>
        <w:pStyle w:val="1054"/>
        <w:jc w:val="both"/>
        <w:rPr>
          <w:sz w:val="18"/>
          <w:szCs w:val="18"/>
        </w:rPr>
      </w:pPr>
      <w:r>
        <w:rPr>
          <w:rStyle w:val="1056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«Россети» (протокол заседания Правления ОАО «Россети»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33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«Россети», и размещается на официальном сайте ПАО «Россети»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33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54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45"/>
    <w:lvl w:ilvl="0">
      <w:start w:val="1"/>
      <w:numFmt w:val="decimal"/>
      <w:pStyle w:val="1042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43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44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46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47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48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49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4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numStyleLink w:val="104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numStyleLink w:val="104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numStyleLink w:val="104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4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43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44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4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4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48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4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4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43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pStyle w:val="104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43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44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pStyle w:val="104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4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48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4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pStyle w:val="104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43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044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</w:rPr>
      </w:lvl>
    </w:lvlOverride>
    <w:lvlOverride w:ilvl="3">
      <w:lvl w:ilvl="3">
        <w:start w:val="1"/>
        <w:numFmt w:val="decimal"/>
        <w:pStyle w:val="104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4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48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pStyle w:val="104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2"/>
  </w:num>
  <w:num w:numId="38">
    <w:abstractNumId w:val="33"/>
  </w:num>
  <w:num w:numId="39">
    <w:abstractNumId w:val="34"/>
  </w:num>
  <w:num w:numId="4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6"/>
  </w:num>
  <w:num w:numId="42">
    <w:abstractNumId w:val="37"/>
  </w:num>
  <w:num w:numId="43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  <w:sz w:val="24"/>
          <w:szCs w:val="24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40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1">
    <w:name w:val="Heading 1 Char"/>
    <w:basedOn w:val="1013"/>
    <w:link w:val="1009"/>
    <w:uiPriority w:val="9"/>
    <w:rPr>
      <w:rFonts w:ascii="Arial" w:hAnsi="Arial" w:eastAsia="Arial" w:cs="Arial"/>
      <w:sz w:val="40"/>
      <w:szCs w:val="40"/>
    </w:rPr>
  </w:style>
  <w:style w:type="character" w:styleId="842">
    <w:name w:val="Heading 2 Char"/>
    <w:basedOn w:val="1013"/>
    <w:link w:val="1010"/>
    <w:uiPriority w:val="9"/>
    <w:rPr>
      <w:rFonts w:ascii="Arial" w:hAnsi="Arial" w:eastAsia="Arial" w:cs="Arial"/>
      <w:sz w:val="34"/>
    </w:rPr>
  </w:style>
  <w:style w:type="character" w:styleId="843">
    <w:name w:val="Heading 3 Char"/>
    <w:basedOn w:val="1013"/>
    <w:link w:val="1011"/>
    <w:uiPriority w:val="9"/>
    <w:rPr>
      <w:rFonts w:ascii="Arial" w:hAnsi="Arial" w:eastAsia="Arial" w:cs="Arial"/>
      <w:sz w:val="30"/>
      <w:szCs w:val="30"/>
    </w:rPr>
  </w:style>
  <w:style w:type="paragraph" w:styleId="844">
    <w:name w:val="Heading 4"/>
    <w:basedOn w:val="1008"/>
    <w:next w:val="1008"/>
    <w:link w:val="8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45">
    <w:name w:val="Heading 4 Char"/>
    <w:basedOn w:val="1013"/>
    <w:link w:val="844"/>
    <w:uiPriority w:val="9"/>
    <w:rPr>
      <w:rFonts w:ascii="Arial" w:hAnsi="Arial" w:eastAsia="Arial" w:cs="Arial"/>
      <w:b/>
      <w:bCs/>
      <w:sz w:val="26"/>
      <w:szCs w:val="26"/>
    </w:rPr>
  </w:style>
  <w:style w:type="character" w:styleId="846">
    <w:name w:val="Heading 5 Char"/>
    <w:basedOn w:val="1013"/>
    <w:link w:val="1012"/>
    <w:uiPriority w:val="9"/>
    <w:rPr>
      <w:rFonts w:ascii="Arial" w:hAnsi="Arial" w:eastAsia="Arial" w:cs="Arial"/>
      <w:b/>
      <w:bCs/>
      <w:sz w:val="24"/>
      <w:szCs w:val="24"/>
    </w:rPr>
  </w:style>
  <w:style w:type="paragraph" w:styleId="847">
    <w:name w:val="Heading 6"/>
    <w:basedOn w:val="1008"/>
    <w:next w:val="1008"/>
    <w:link w:val="84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8">
    <w:name w:val="Heading 6 Char"/>
    <w:basedOn w:val="1013"/>
    <w:link w:val="847"/>
    <w:uiPriority w:val="9"/>
    <w:rPr>
      <w:rFonts w:ascii="Arial" w:hAnsi="Arial" w:eastAsia="Arial" w:cs="Arial"/>
      <w:b/>
      <w:bCs/>
      <w:sz w:val="22"/>
      <w:szCs w:val="22"/>
    </w:rPr>
  </w:style>
  <w:style w:type="paragraph" w:styleId="849">
    <w:name w:val="Heading 7"/>
    <w:basedOn w:val="1008"/>
    <w:next w:val="1008"/>
    <w:link w:val="85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50">
    <w:name w:val="Heading 7 Char"/>
    <w:basedOn w:val="1013"/>
    <w:link w:val="8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51">
    <w:name w:val="Heading 8"/>
    <w:basedOn w:val="1008"/>
    <w:next w:val="1008"/>
    <w:link w:val="85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52">
    <w:name w:val="Heading 8 Char"/>
    <w:basedOn w:val="1013"/>
    <w:link w:val="851"/>
    <w:uiPriority w:val="9"/>
    <w:rPr>
      <w:rFonts w:ascii="Arial" w:hAnsi="Arial" w:eastAsia="Arial" w:cs="Arial"/>
      <w:i/>
      <w:iCs/>
      <w:sz w:val="22"/>
      <w:szCs w:val="22"/>
    </w:rPr>
  </w:style>
  <w:style w:type="paragraph" w:styleId="853">
    <w:name w:val="Heading 9"/>
    <w:basedOn w:val="1008"/>
    <w:next w:val="1008"/>
    <w:link w:val="85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4">
    <w:name w:val="Heading 9 Char"/>
    <w:basedOn w:val="1013"/>
    <w:link w:val="853"/>
    <w:uiPriority w:val="9"/>
    <w:rPr>
      <w:rFonts w:ascii="Arial" w:hAnsi="Arial" w:eastAsia="Arial" w:cs="Arial"/>
      <w:i/>
      <w:iCs/>
      <w:sz w:val="21"/>
      <w:szCs w:val="21"/>
    </w:rPr>
  </w:style>
  <w:style w:type="character" w:styleId="855">
    <w:name w:val="Title Char"/>
    <w:basedOn w:val="1013"/>
    <w:link w:val="1020"/>
    <w:uiPriority w:val="10"/>
    <w:rPr>
      <w:sz w:val="48"/>
      <w:szCs w:val="48"/>
    </w:rPr>
  </w:style>
  <w:style w:type="paragraph" w:styleId="856">
    <w:name w:val="Subtitle"/>
    <w:basedOn w:val="1008"/>
    <w:next w:val="1008"/>
    <w:link w:val="857"/>
    <w:uiPriority w:val="11"/>
    <w:qFormat/>
    <w:pPr>
      <w:spacing w:before="200" w:after="200"/>
    </w:pPr>
    <w:rPr>
      <w:sz w:val="24"/>
      <w:szCs w:val="24"/>
    </w:rPr>
  </w:style>
  <w:style w:type="character" w:styleId="857">
    <w:name w:val="Subtitle Char"/>
    <w:basedOn w:val="1013"/>
    <w:link w:val="856"/>
    <w:uiPriority w:val="11"/>
    <w:rPr>
      <w:sz w:val="24"/>
      <w:szCs w:val="24"/>
    </w:rPr>
  </w:style>
  <w:style w:type="paragraph" w:styleId="858">
    <w:name w:val="Quote"/>
    <w:basedOn w:val="1008"/>
    <w:next w:val="1008"/>
    <w:link w:val="859"/>
    <w:uiPriority w:val="29"/>
    <w:qFormat/>
    <w:pPr>
      <w:ind w:left="720" w:right="720"/>
    </w:pPr>
    <w:rPr>
      <w:i/>
    </w:rPr>
  </w:style>
  <w:style w:type="character" w:styleId="859">
    <w:name w:val="Quote Char"/>
    <w:link w:val="858"/>
    <w:uiPriority w:val="29"/>
    <w:rPr>
      <w:i/>
    </w:rPr>
  </w:style>
  <w:style w:type="paragraph" w:styleId="860">
    <w:name w:val="Intense Quote"/>
    <w:basedOn w:val="1008"/>
    <w:next w:val="1008"/>
    <w:link w:val="8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1">
    <w:name w:val="Intense Quote Char"/>
    <w:link w:val="860"/>
    <w:uiPriority w:val="30"/>
    <w:rPr>
      <w:i/>
    </w:rPr>
  </w:style>
  <w:style w:type="paragraph" w:styleId="862">
    <w:name w:val="Header"/>
    <w:basedOn w:val="1008"/>
    <w:link w:val="8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63">
    <w:name w:val="Header Char"/>
    <w:basedOn w:val="1013"/>
    <w:link w:val="862"/>
    <w:uiPriority w:val="99"/>
  </w:style>
  <w:style w:type="character" w:styleId="864">
    <w:name w:val="Footer Char"/>
    <w:basedOn w:val="1013"/>
    <w:link w:val="1036"/>
    <w:uiPriority w:val="99"/>
  </w:style>
  <w:style w:type="paragraph" w:styleId="865">
    <w:name w:val="Caption"/>
    <w:basedOn w:val="1008"/>
    <w:next w:val="1008"/>
    <w:link w:val="8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66">
    <w:name w:val="Caption Char"/>
    <w:basedOn w:val="1013"/>
    <w:link w:val="865"/>
    <w:uiPriority w:val="35"/>
    <w:rPr>
      <w:b/>
      <w:bCs/>
      <w:color w:val="4f81bd" w:themeColor="accent1"/>
      <w:sz w:val="18"/>
      <w:szCs w:val="18"/>
    </w:rPr>
  </w:style>
  <w:style w:type="table" w:styleId="867">
    <w:name w:val="Table Grid"/>
    <w:basedOn w:val="101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8">
    <w:name w:val="Table Grid Light"/>
    <w:basedOn w:val="10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9">
    <w:name w:val="Plain Table 1"/>
    <w:basedOn w:val="10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0">
    <w:name w:val="Plain Table 2"/>
    <w:basedOn w:val="10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1">
    <w:name w:val="Plain Table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2">
    <w:name w:val="Plain Table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Plain Table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4">
    <w:name w:val="Grid Table 1 Light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Grid Table 1 Light 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1 Light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Grid Table 1 Light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Grid Table 1 Light 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Grid Table 1 Light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Grid Table 1 Light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Grid Table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2 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2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2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2 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2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2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3 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3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3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3 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3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3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4"/>
    <w:basedOn w:val="10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6">
    <w:name w:val="Grid Table 4 - Accent 1"/>
    <w:basedOn w:val="10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7">
    <w:name w:val="Grid Table 4 - Accent 2"/>
    <w:basedOn w:val="10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8">
    <w:name w:val="Grid Table 4 - Accent 3"/>
    <w:basedOn w:val="10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9">
    <w:name w:val="Grid Table 4 - Accent 4"/>
    <w:basedOn w:val="10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0">
    <w:name w:val="Grid Table 4 - Accent 5"/>
    <w:basedOn w:val="10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1">
    <w:name w:val="Grid Table 4 - Accent 6"/>
    <w:basedOn w:val="10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02">
    <w:name w:val="Grid Table 5 Dark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3">
    <w:name w:val="Grid Table 5 Dark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04">
    <w:name w:val="Grid Table 5 Dark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05">
    <w:name w:val="Grid Table 5 Dark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06">
    <w:name w:val="Grid Table 5 Dark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07">
    <w:name w:val="Grid Table 5 Dark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8">
    <w:name w:val="Grid Table 5 Dark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9">
    <w:name w:val="Grid Table 6 Colorful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0">
    <w:name w:val="Grid Table 6 Colorful 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1">
    <w:name w:val="Grid Table 6 Colorful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2">
    <w:name w:val="Grid Table 6 Colorful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3">
    <w:name w:val="Grid Table 6 Colorful 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4">
    <w:name w:val="Grid Table 6 Colorful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5">
    <w:name w:val="Grid Table 6 Colorful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6">
    <w:name w:val="Grid Table 7 Colorful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7 Colorful 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7 Colorful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7 Colorful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7 Colorful 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7 Colorful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7 Colorful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1 Light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1 Light 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1 Light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1 Light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1 Light 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List Table 1 Light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1 Light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List Table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1">
    <w:name w:val="List Table 2 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32">
    <w:name w:val="List Table 2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3">
    <w:name w:val="List Table 2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4">
    <w:name w:val="List Table 2 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35">
    <w:name w:val="List Table 2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36">
    <w:name w:val="List Table 2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7">
    <w:name w:val="List Table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3 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3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3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3 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3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3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4 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4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4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4 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4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4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5 Dark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2">
    <w:name w:val="List Table 5 Dark 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3">
    <w:name w:val="List Table 5 Dark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4">
    <w:name w:val="List Table 5 Dark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5">
    <w:name w:val="List Table 5 Dark 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6">
    <w:name w:val="List Table 5 Dark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7">
    <w:name w:val="List Table 5 Dark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8">
    <w:name w:val="List Table 6 Colorful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9">
    <w:name w:val="List Table 6 Colorful 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0">
    <w:name w:val="List Table 6 Colorful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1">
    <w:name w:val="List Table 6 Colorful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62">
    <w:name w:val="List Table 6 Colorful 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3">
    <w:name w:val="List Table 6 Colorful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4">
    <w:name w:val="List Table 6 Colorful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65">
    <w:name w:val="List Table 7 Colorful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66">
    <w:name w:val="List Table 7 Colorful 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67">
    <w:name w:val="List Table 7 Colorful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68">
    <w:name w:val="List Table 7 Colorful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69">
    <w:name w:val="List Table 7 Colorful 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70">
    <w:name w:val="List Table 7 Colorful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71">
    <w:name w:val="List Table 7 Colorful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72">
    <w:name w:val="Lined - Accent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3">
    <w:name w:val="Lined - Accent 1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4">
    <w:name w:val="Lined - Accent 2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5">
    <w:name w:val="Lined - Accent 3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6">
    <w:name w:val="Lined - Accent 4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7">
    <w:name w:val="Lined - Accent 5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8">
    <w:name w:val="Lined - Accent 6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9">
    <w:name w:val="Bordered &amp; Lined - Accent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0">
    <w:name w:val="Bordered &amp; Lined - Accent 1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1">
    <w:name w:val="Bordered &amp; Lined - Accent 2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2">
    <w:name w:val="Bordered &amp; Lined - Accent 3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3">
    <w:name w:val="Bordered &amp; Lined - Accent 4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4">
    <w:name w:val="Bordered &amp; Lined - Accent 5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5">
    <w:name w:val="Bordered &amp; Lined - Accent 6"/>
    <w:basedOn w:val="10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6">
    <w:name w:val="Bordered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7">
    <w:name w:val="Bordered - Accent 1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8">
    <w:name w:val="Bordered - Accent 2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9">
    <w:name w:val="Bordered - Accent 3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0">
    <w:name w:val="Bordered - Accent 4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1">
    <w:name w:val="Bordered - Accent 5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92">
    <w:name w:val="Bordered - Accent 6"/>
    <w:basedOn w:val="10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3">
    <w:name w:val="Footnote Text Char"/>
    <w:link w:val="1054"/>
    <w:uiPriority w:val="99"/>
    <w:rPr>
      <w:sz w:val="18"/>
    </w:rPr>
  </w:style>
  <w:style w:type="paragraph" w:styleId="994">
    <w:name w:val="endnote text"/>
    <w:basedOn w:val="1008"/>
    <w:link w:val="995"/>
    <w:uiPriority w:val="99"/>
    <w:semiHidden/>
    <w:unhideWhenUsed/>
    <w:pPr>
      <w:spacing w:after="0" w:line="240" w:lineRule="auto"/>
    </w:pPr>
    <w:rPr>
      <w:sz w:val="20"/>
    </w:rPr>
  </w:style>
  <w:style w:type="character" w:styleId="995">
    <w:name w:val="Endnote Text Char"/>
    <w:link w:val="994"/>
    <w:uiPriority w:val="99"/>
    <w:rPr>
      <w:sz w:val="20"/>
    </w:rPr>
  </w:style>
  <w:style w:type="character" w:styleId="996">
    <w:name w:val="endnote reference"/>
    <w:basedOn w:val="1013"/>
    <w:uiPriority w:val="99"/>
    <w:semiHidden/>
    <w:unhideWhenUsed/>
    <w:rPr>
      <w:vertAlign w:val="superscript"/>
    </w:rPr>
  </w:style>
  <w:style w:type="paragraph" w:styleId="997">
    <w:name w:val="toc 1"/>
    <w:basedOn w:val="1008"/>
    <w:next w:val="1008"/>
    <w:uiPriority w:val="39"/>
    <w:unhideWhenUsed/>
    <w:pPr>
      <w:ind w:left="0" w:right="0" w:firstLine="0"/>
      <w:spacing w:after="57"/>
    </w:pPr>
  </w:style>
  <w:style w:type="paragraph" w:styleId="998">
    <w:name w:val="toc 2"/>
    <w:basedOn w:val="1008"/>
    <w:next w:val="1008"/>
    <w:uiPriority w:val="39"/>
    <w:unhideWhenUsed/>
    <w:pPr>
      <w:ind w:left="283" w:right="0" w:firstLine="0"/>
      <w:spacing w:after="57"/>
    </w:pPr>
  </w:style>
  <w:style w:type="paragraph" w:styleId="999">
    <w:name w:val="toc 3"/>
    <w:basedOn w:val="1008"/>
    <w:next w:val="1008"/>
    <w:uiPriority w:val="39"/>
    <w:unhideWhenUsed/>
    <w:pPr>
      <w:ind w:left="567" w:right="0" w:firstLine="0"/>
      <w:spacing w:after="57"/>
    </w:pPr>
  </w:style>
  <w:style w:type="paragraph" w:styleId="1000">
    <w:name w:val="toc 4"/>
    <w:basedOn w:val="1008"/>
    <w:next w:val="1008"/>
    <w:uiPriority w:val="39"/>
    <w:unhideWhenUsed/>
    <w:pPr>
      <w:ind w:left="850" w:right="0" w:firstLine="0"/>
      <w:spacing w:after="57"/>
    </w:pPr>
  </w:style>
  <w:style w:type="paragraph" w:styleId="1001">
    <w:name w:val="toc 5"/>
    <w:basedOn w:val="1008"/>
    <w:next w:val="1008"/>
    <w:uiPriority w:val="39"/>
    <w:unhideWhenUsed/>
    <w:pPr>
      <w:ind w:left="1134" w:right="0" w:firstLine="0"/>
      <w:spacing w:after="57"/>
    </w:pPr>
  </w:style>
  <w:style w:type="paragraph" w:styleId="1002">
    <w:name w:val="toc 6"/>
    <w:basedOn w:val="1008"/>
    <w:next w:val="1008"/>
    <w:uiPriority w:val="39"/>
    <w:unhideWhenUsed/>
    <w:pPr>
      <w:ind w:left="1417" w:right="0" w:firstLine="0"/>
      <w:spacing w:after="57"/>
    </w:pPr>
  </w:style>
  <w:style w:type="paragraph" w:styleId="1003">
    <w:name w:val="toc 7"/>
    <w:basedOn w:val="1008"/>
    <w:next w:val="1008"/>
    <w:uiPriority w:val="39"/>
    <w:unhideWhenUsed/>
    <w:pPr>
      <w:ind w:left="1701" w:right="0" w:firstLine="0"/>
      <w:spacing w:after="57"/>
    </w:pPr>
  </w:style>
  <w:style w:type="paragraph" w:styleId="1004">
    <w:name w:val="toc 8"/>
    <w:basedOn w:val="1008"/>
    <w:next w:val="1008"/>
    <w:uiPriority w:val="39"/>
    <w:unhideWhenUsed/>
    <w:pPr>
      <w:ind w:left="1984" w:right="0" w:firstLine="0"/>
      <w:spacing w:after="57"/>
    </w:pPr>
  </w:style>
  <w:style w:type="paragraph" w:styleId="1005">
    <w:name w:val="toc 9"/>
    <w:basedOn w:val="1008"/>
    <w:next w:val="1008"/>
    <w:uiPriority w:val="39"/>
    <w:unhideWhenUsed/>
    <w:pPr>
      <w:ind w:left="2268" w:right="0" w:firstLine="0"/>
      <w:spacing w:after="57"/>
    </w:pPr>
  </w:style>
  <w:style w:type="paragraph" w:styleId="1006">
    <w:name w:val="TOC Heading"/>
    <w:uiPriority w:val="39"/>
    <w:unhideWhenUsed/>
  </w:style>
  <w:style w:type="paragraph" w:styleId="1007">
    <w:name w:val="table of figures"/>
    <w:basedOn w:val="1008"/>
    <w:next w:val="1008"/>
    <w:uiPriority w:val="99"/>
    <w:unhideWhenUsed/>
    <w:pPr>
      <w:spacing w:after="0" w:afterAutospacing="0"/>
    </w:pPr>
  </w:style>
  <w:style w:type="paragraph" w:styleId="100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9">
    <w:name w:val="Heading 1"/>
    <w:basedOn w:val="1008"/>
    <w:next w:val="1008"/>
    <w:link w:val="1016"/>
    <w:qFormat/>
    <w:pPr>
      <w:jc w:val="center"/>
      <w:keepNext/>
      <w:outlineLvl w:val="0"/>
    </w:pPr>
    <w:rPr>
      <w:sz w:val="28"/>
    </w:rPr>
  </w:style>
  <w:style w:type="paragraph" w:styleId="1010">
    <w:name w:val="Heading 2"/>
    <w:basedOn w:val="1008"/>
    <w:next w:val="1008"/>
    <w:link w:val="1041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11">
    <w:name w:val="Heading 3"/>
    <w:basedOn w:val="1008"/>
    <w:next w:val="1008"/>
    <w:link w:val="1039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12">
    <w:name w:val="Heading 5"/>
    <w:basedOn w:val="1008"/>
    <w:next w:val="1008"/>
    <w:link w:val="1034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13" w:default="1">
    <w:name w:val="Default Paragraph Font"/>
    <w:uiPriority w:val="1"/>
    <w:semiHidden/>
    <w:unhideWhenUsed/>
  </w:style>
  <w:style w:type="table" w:styleId="10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15" w:default="1">
    <w:name w:val="No List"/>
    <w:uiPriority w:val="99"/>
    <w:semiHidden/>
    <w:unhideWhenUsed/>
  </w:style>
  <w:style w:type="character" w:styleId="1016" w:customStyle="1">
    <w:name w:val="Заголовок 1 Знак"/>
    <w:basedOn w:val="1013"/>
    <w:link w:val="1009"/>
    <w:rPr>
      <w:rFonts w:ascii="Times New Roman" w:hAnsi="Times New Roman" w:eastAsia="Times New Roman" w:cs="Times New Roman"/>
      <w:sz w:val="28"/>
      <w:szCs w:val="24"/>
    </w:rPr>
  </w:style>
  <w:style w:type="paragraph" w:styleId="1017">
    <w:name w:val="Body Text Indent"/>
    <w:basedOn w:val="1008"/>
    <w:link w:val="1018"/>
    <w:uiPriority w:val="99"/>
    <w:pPr>
      <w:ind w:left="1083" w:firstLine="537"/>
      <w:jc w:val="both"/>
      <w:tabs>
        <w:tab w:val="num" w:pos="0" w:leader="none"/>
      </w:tabs>
    </w:pPr>
  </w:style>
  <w:style w:type="character" w:styleId="1018" w:customStyle="1">
    <w:name w:val="Основной текст с отступом Знак"/>
    <w:basedOn w:val="1013"/>
    <w:link w:val="1017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19">
    <w:name w:val="Normal (Web)"/>
    <w:basedOn w:val="1008"/>
    <w:uiPriority w:val="99"/>
    <w:pPr>
      <w:spacing w:before="100" w:beforeAutospacing="1" w:after="100" w:afterAutospacing="1"/>
    </w:pPr>
  </w:style>
  <w:style w:type="paragraph" w:styleId="1020">
    <w:name w:val="Title"/>
    <w:basedOn w:val="1008"/>
    <w:link w:val="1021"/>
    <w:uiPriority w:val="10"/>
    <w:qFormat/>
    <w:pPr>
      <w:jc w:val="center"/>
    </w:pPr>
    <w:rPr>
      <w:sz w:val="28"/>
    </w:rPr>
  </w:style>
  <w:style w:type="character" w:styleId="1021" w:customStyle="1">
    <w:name w:val="Заголовок Знак"/>
    <w:basedOn w:val="1013"/>
    <w:link w:val="1020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22" w:customStyle="1">
    <w:name w:val="Подподпункт"/>
    <w:basedOn w:val="1008"/>
  </w:style>
  <w:style w:type="paragraph" w:styleId="1023">
    <w:name w:val="Plain Text"/>
    <w:basedOn w:val="1008"/>
    <w:link w:val="1024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24" w:customStyle="1">
    <w:name w:val="Текст Знак"/>
    <w:basedOn w:val="1013"/>
    <w:link w:val="1023"/>
    <w:uiPriority w:val="99"/>
    <w:rPr>
      <w:rFonts w:ascii="Consolas" w:hAnsi="Consolas" w:eastAsia="Calibri" w:cs="Times New Roman"/>
      <w:sz w:val="21"/>
      <w:szCs w:val="21"/>
    </w:rPr>
  </w:style>
  <w:style w:type="character" w:styleId="1025">
    <w:name w:val="annotation reference"/>
    <w:uiPriority w:val="99"/>
    <w:rPr>
      <w:sz w:val="16"/>
      <w:szCs w:val="16"/>
    </w:rPr>
  </w:style>
  <w:style w:type="paragraph" w:styleId="1026">
    <w:name w:val="annotation text"/>
    <w:basedOn w:val="1008"/>
    <w:link w:val="1027"/>
    <w:uiPriority w:val="99"/>
    <w:rPr>
      <w:sz w:val="20"/>
      <w:szCs w:val="20"/>
    </w:rPr>
  </w:style>
  <w:style w:type="character" w:styleId="1027" w:customStyle="1">
    <w:name w:val="Текст примечания Знак"/>
    <w:basedOn w:val="1013"/>
    <w:link w:val="102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28">
    <w:name w:val="Balloon Text"/>
    <w:basedOn w:val="1008"/>
    <w:link w:val="1029"/>
    <w:uiPriority w:val="99"/>
    <w:semiHidden/>
    <w:unhideWhenUsed/>
    <w:rPr>
      <w:rFonts w:ascii="Tahoma" w:hAnsi="Tahoma" w:cs="Tahoma"/>
      <w:sz w:val="16"/>
      <w:szCs w:val="16"/>
    </w:rPr>
  </w:style>
  <w:style w:type="character" w:styleId="1029" w:customStyle="1">
    <w:name w:val="Текст выноски Знак"/>
    <w:basedOn w:val="1013"/>
    <w:link w:val="1028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30">
    <w:name w:val="annotation subject"/>
    <w:basedOn w:val="1026"/>
    <w:next w:val="1026"/>
    <w:link w:val="1031"/>
    <w:uiPriority w:val="99"/>
    <w:semiHidden/>
    <w:unhideWhenUsed/>
    <w:rPr>
      <w:b/>
      <w:bCs/>
    </w:rPr>
  </w:style>
  <w:style w:type="character" w:styleId="1031" w:customStyle="1">
    <w:name w:val="Тема примечания Знак"/>
    <w:basedOn w:val="1027"/>
    <w:link w:val="103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32">
    <w:name w:val="List Paragraph"/>
    <w:basedOn w:val="1008"/>
    <w:link w:val="1040"/>
    <w:uiPriority w:val="34"/>
    <w:qFormat/>
    <w:pPr>
      <w:contextualSpacing/>
      <w:ind w:left="720"/>
    </w:pPr>
  </w:style>
  <w:style w:type="character" w:styleId="1033">
    <w:name w:val="Hyperlink"/>
    <w:basedOn w:val="1013"/>
    <w:uiPriority w:val="99"/>
    <w:unhideWhenUsed/>
    <w:rPr>
      <w:color w:val="0000ff"/>
      <w:u w:val="single"/>
    </w:rPr>
  </w:style>
  <w:style w:type="character" w:styleId="1034" w:customStyle="1">
    <w:name w:val="Заголовок 5 Знак"/>
    <w:basedOn w:val="1013"/>
    <w:link w:val="1012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35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6">
    <w:name w:val="Footer"/>
    <w:basedOn w:val="1008"/>
    <w:link w:val="1037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37" w:customStyle="1">
    <w:name w:val="Нижний колонтитул Знак"/>
    <w:basedOn w:val="1013"/>
    <w:link w:val="1036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38">
    <w:name w:val="page number"/>
    <w:basedOn w:val="1013"/>
  </w:style>
  <w:style w:type="character" w:styleId="1039" w:customStyle="1">
    <w:name w:val="Заголовок 3 Знак"/>
    <w:basedOn w:val="1013"/>
    <w:link w:val="1011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40" w:customStyle="1">
    <w:name w:val="Абзац списка Знак"/>
    <w:basedOn w:val="1013"/>
    <w:link w:val="1032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41" w:customStyle="1">
    <w:name w:val="Заголовок 2 Знак"/>
    <w:basedOn w:val="1013"/>
    <w:link w:val="1010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42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43" w:customStyle="1">
    <w:name w:val="2-з"/>
    <w:basedOn w:val="1008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44" w:customStyle="1">
    <w:name w:val="3-з"/>
    <w:link w:val="1050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45" w:customStyle="1">
    <w:name w:val="нумерация"/>
    <w:uiPriority w:val="99"/>
    <w:pPr>
      <w:numPr>
        <w:ilvl w:val="0"/>
        <w:numId w:val="26"/>
      </w:numPr>
    </w:pPr>
  </w:style>
  <w:style w:type="paragraph" w:styleId="1046" w:customStyle="1">
    <w:name w:val="4-з"/>
    <w:link w:val="1057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47" w:customStyle="1">
    <w:name w:val="5-з"/>
    <w:basedOn w:val="1008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48" w:customStyle="1">
    <w:name w:val="6-буквы"/>
    <w:basedOn w:val="1008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49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50" w:customStyle="1">
    <w:name w:val="3-з Знак"/>
    <w:basedOn w:val="1013"/>
    <w:link w:val="1044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51" w:customStyle="1">
    <w:name w:val="Абзац списка1"/>
    <w:basedOn w:val="1008"/>
    <w:link w:val="1052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52" w:customStyle="1">
    <w:name w:val="List Paragraph Char"/>
    <w:link w:val="1051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5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54">
    <w:name w:val="footnote text"/>
    <w:basedOn w:val="1008"/>
    <w:link w:val="1055"/>
    <w:uiPriority w:val="99"/>
    <w:unhideWhenUsed/>
    <w:rPr>
      <w:sz w:val="20"/>
      <w:szCs w:val="20"/>
    </w:rPr>
  </w:style>
  <w:style w:type="character" w:styleId="1055" w:customStyle="1">
    <w:name w:val="Текст сноски Знак"/>
    <w:basedOn w:val="1013"/>
    <w:link w:val="105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56">
    <w:name w:val="footnote reference"/>
    <w:basedOn w:val="1013"/>
    <w:uiPriority w:val="99"/>
    <w:unhideWhenUsed/>
    <w:rPr>
      <w:vertAlign w:val="superscript"/>
    </w:rPr>
  </w:style>
  <w:style w:type="character" w:styleId="1057" w:customStyle="1">
    <w:name w:val="4-з Знак"/>
    <w:basedOn w:val="1013"/>
    <w:link w:val="1046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9697B-E7F8-4EED-9D1F-D9C34B4E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Gubina-OS</cp:lastModifiedBy>
  <cp:revision>53</cp:revision>
  <dcterms:created xsi:type="dcterms:W3CDTF">2024-01-30T04:06:00Z</dcterms:created>
  <dcterms:modified xsi:type="dcterms:W3CDTF">2026-07-22T03:48:14Z</dcterms:modified>
</cp:coreProperties>
</file>